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66" w:rsidRDefault="007E7D66" w:rsidP="007E7D66">
      <w:pPr>
        <w:spacing w:after="0" w:line="240" w:lineRule="auto"/>
        <w:rPr>
          <w:rFonts w:ascii="Verdana" w:eastAsia="Times New Roman" w:hAnsi="Verdana" w:cs="Arial"/>
          <w:b/>
          <w:sz w:val="32"/>
          <w:szCs w:val="40"/>
          <w:lang w:eastAsia="pl-PL"/>
        </w:rPr>
      </w:pPr>
      <w:r w:rsidRPr="007E7D66">
        <w:rPr>
          <w:rFonts w:ascii="Verdana" w:eastAsia="Times New Roman" w:hAnsi="Verdana" w:cs="Arial"/>
          <w:b/>
          <w:sz w:val="32"/>
          <w:szCs w:val="40"/>
          <w:lang w:eastAsia="pl-PL"/>
        </w:rPr>
        <w:t>Regulamin klasyfikacji długofalowych Sława 2022</w:t>
      </w:r>
    </w:p>
    <w:p w:rsidR="007E7D66" w:rsidRPr="007E7D66" w:rsidRDefault="007E7D66" w:rsidP="007E7D66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1. W turniejach kongresowych i wczasowych zawodnicy otrzymują</w:t>
      </w:r>
      <w:r>
        <w:rPr>
          <w:rFonts w:ascii="Verdana" w:eastAsia="Times New Roman" w:hAnsi="Verdana" w:cs="Arial"/>
          <w:sz w:val="28"/>
          <w:szCs w:val="40"/>
          <w:lang w:eastAsia="pl-PL"/>
        </w:rPr>
        <w:t xml:space="preserve"> 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punkty długofalowe(PDF) do punktacji łącznej.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2. PDF otrzymuje100% uczestników każdego turnieju.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3. Zwycięzcy poszczególnych turniejów otrzymują: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a. w turnieju Grand Prix Polski Par–400PDF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>
        <w:rPr>
          <w:rFonts w:ascii="Verdana" w:eastAsia="Times New Roman" w:hAnsi="Verdana" w:cs="Arial"/>
          <w:sz w:val="28"/>
          <w:szCs w:val="40"/>
          <w:lang w:eastAsia="pl-PL"/>
        </w:rPr>
        <w:t>b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. w turniej mikstów–280 PDF (liczony w obu klasyfikacjach)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>
        <w:rPr>
          <w:rFonts w:ascii="Verdana" w:eastAsia="Times New Roman" w:hAnsi="Verdana" w:cs="Arial"/>
          <w:sz w:val="28"/>
          <w:szCs w:val="40"/>
          <w:lang w:eastAsia="pl-PL"/>
        </w:rPr>
        <w:t>c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 xml:space="preserve">. </w:t>
      </w:r>
      <w:r w:rsidR="001505AA">
        <w:rPr>
          <w:rFonts w:ascii="Verdana" w:eastAsia="Times New Roman" w:hAnsi="Verdana" w:cs="Arial"/>
          <w:sz w:val="28"/>
          <w:szCs w:val="40"/>
          <w:lang w:eastAsia="pl-PL"/>
        </w:rPr>
        <w:t>w turnieju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 xml:space="preserve"> K-11 –320 PDF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>
        <w:rPr>
          <w:rFonts w:ascii="Verdana" w:eastAsia="Times New Roman" w:hAnsi="Verdana" w:cs="Arial"/>
          <w:sz w:val="28"/>
          <w:szCs w:val="40"/>
          <w:lang w:eastAsia="pl-PL"/>
        </w:rPr>
        <w:t>d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. w Drużynowym Pucharze Lata – 280 PDF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>
        <w:rPr>
          <w:rFonts w:ascii="Verdana" w:eastAsia="Times New Roman" w:hAnsi="Verdana" w:cs="Arial"/>
          <w:sz w:val="28"/>
          <w:szCs w:val="40"/>
          <w:lang w:eastAsia="pl-PL"/>
        </w:rPr>
        <w:t>e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. w pozostałych turniejach–240PDF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4. Ponadto zdobywcy czołowych miejsc otrzymują PDF według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klucza: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a. w turnieju GPP Par–80,64, 52,40,28,20,14,10,6,4,2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>
        <w:rPr>
          <w:rFonts w:ascii="Verdana" w:eastAsia="Times New Roman" w:hAnsi="Verdana" w:cs="Arial"/>
          <w:sz w:val="28"/>
          <w:szCs w:val="40"/>
          <w:lang w:eastAsia="pl-PL"/>
        </w:rPr>
        <w:t>b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. w turnieju mikstów–140, 120, 100, 80, 60, 40, 30, 20, 10, 2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>
        <w:rPr>
          <w:rFonts w:ascii="Verdana" w:eastAsia="Times New Roman" w:hAnsi="Verdana" w:cs="Arial"/>
          <w:sz w:val="28"/>
          <w:szCs w:val="40"/>
          <w:lang w:eastAsia="pl-PL"/>
        </w:rPr>
        <w:t>c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. w Drużynowym Pucharze Lata – 160, 120, 80, 40, 10, 10, 10,10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>
        <w:rPr>
          <w:rFonts w:ascii="Verdana" w:eastAsia="Times New Roman" w:hAnsi="Verdana" w:cs="Arial"/>
          <w:sz w:val="28"/>
          <w:szCs w:val="40"/>
          <w:lang w:eastAsia="pl-PL"/>
        </w:rPr>
        <w:t>d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. w pozostałych turniejach–60,42,30,20,14,10,6,4,2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>
        <w:rPr>
          <w:rFonts w:ascii="Verdana" w:eastAsia="Times New Roman" w:hAnsi="Verdana" w:cs="Arial"/>
          <w:sz w:val="28"/>
          <w:szCs w:val="40"/>
          <w:lang w:eastAsia="pl-PL"/>
        </w:rPr>
        <w:t>e.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 xml:space="preserve"> w MP Seniorów punkty z danego etapu liczą się do klasyfikacji</w:t>
      </w:r>
      <w:r>
        <w:rPr>
          <w:rFonts w:ascii="Verdana" w:eastAsia="Times New Roman" w:hAnsi="Verdana" w:cs="Arial"/>
          <w:sz w:val="28"/>
          <w:szCs w:val="40"/>
          <w:lang w:eastAsia="pl-PL"/>
        </w:rPr>
        <w:t xml:space="preserve"> 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równolegle trwającego turnieju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i. w półfinale ostatnia para otrzymuje 60 PDF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ii. w finale ostatnia para otrzymuje 120 PDF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5. Zawodnicy zajmujący dalsze miejsca otrzymują PDF zgodnie z</w:t>
      </w:r>
      <w:r>
        <w:rPr>
          <w:rFonts w:ascii="Verdana" w:eastAsia="Times New Roman" w:hAnsi="Verdana" w:cs="Arial"/>
          <w:sz w:val="28"/>
          <w:szCs w:val="40"/>
          <w:lang w:eastAsia="pl-PL"/>
        </w:rPr>
        <w:t xml:space="preserve"> 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obniżką uzależnioną od liczby punktujących par. Obniżka jest liczbą</w:t>
      </w:r>
      <w:r>
        <w:rPr>
          <w:rFonts w:ascii="Verdana" w:eastAsia="Times New Roman" w:hAnsi="Verdana" w:cs="Arial"/>
          <w:sz w:val="28"/>
          <w:szCs w:val="40"/>
          <w:lang w:eastAsia="pl-PL"/>
        </w:rPr>
        <w:t xml:space="preserve"> 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całkowitą i w jednym turnieju może zmieniać się maksymalnie o 1.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6. W klasyfikacji kongresowej liczą się wyniki 10 z 12 najlepszych</w:t>
      </w:r>
      <w:r>
        <w:rPr>
          <w:rFonts w:ascii="Verdana" w:eastAsia="Times New Roman" w:hAnsi="Verdana" w:cs="Arial"/>
          <w:sz w:val="28"/>
          <w:szCs w:val="40"/>
          <w:lang w:eastAsia="pl-PL"/>
        </w:rPr>
        <w:t xml:space="preserve"> 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 xml:space="preserve">turniejów, a w klasyfikacji wczasowej </w:t>
      </w:r>
      <w:r w:rsidR="00C2649A">
        <w:rPr>
          <w:rFonts w:ascii="Verdana" w:eastAsia="Times New Roman" w:hAnsi="Verdana" w:cs="Arial"/>
          <w:sz w:val="28"/>
          <w:szCs w:val="40"/>
          <w:lang w:eastAsia="pl-PL"/>
        </w:rPr>
        <w:t>5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 xml:space="preserve"> z </w:t>
      </w:r>
      <w:r w:rsidR="00C2649A">
        <w:rPr>
          <w:rFonts w:ascii="Verdana" w:eastAsia="Times New Roman" w:hAnsi="Verdana" w:cs="Arial"/>
          <w:sz w:val="28"/>
          <w:szCs w:val="40"/>
          <w:lang w:eastAsia="pl-PL"/>
        </w:rPr>
        <w:t>7</w:t>
      </w:r>
      <w:bookmarkStart w:id="0" w:name="_GoBack"/>
      <w:bookmarkEnd w:id="0"/>
      <w:r w:rsidRPr="007E7D66">
        <w:rPr>
          <w:rFonts w:ascii="Verdana" w:eastAsia="Times New Roman" w:hAnsi="Verdana" w:cs="Arial"/>
          <w:sz w:val="28"/>
          <w:szCs w:val="40"/>
          <w:lang w:eastAsia="pl-PL"/>
        </w:rPr>
        <w:t xml:space="preserve"> najlepszych turniejów.</w:t>
      </w:r>
      <w:r w:rsidRPr="007E7D66">
        <w:rPr>
          <w:rFonts w:ascii="Verdana" w:eastAsia="Times New Roman" w:hAnsi="Verdana" w:cs="Times New Roman"/>
          <w:sz w:val="18"/>
          <w:szCs w:val="24"/>
          <w:lang w:eastAsia="pl-PL"/>
        </w:rPr>
        <w:br/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7. W przypadku takiej samej liczby zdobytych punktów decyduje</w:t>
      </w:r>
      <w:r>
        <w:rPr>
          <w:rFonts w:ascii="Verdana" w:eastAsia="Times New Roman" w:hAnsi="Verdana" w:cs="Arial"/>
          <w:sz w:val="28"/>
          <w:szCs w:val="40"/>
          <w:lang w:eastAsia="pl-PL"/>
        </w:rPr>
        <w:t xml:space="preserve"> 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wyższe miejsce w turnieju niedzielnym (w klasyfikacji kongresowej</w:t>
      </w:r>
      <w:r>
        <w:rPr>
          <w:rFonts w:ascii="Verdana" w:eastAsia="Times New Roman" w:hAnsi="Verdana" w:cs="Arial"/>
          <w:sz w:val="28"/>
          <w:szCs w:val="40"/>
          <w:lang w:eastAsia="pl-PL"/>
        </w:rPr>
        <w:t xml:space="preserve"> 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, następnie kolejno w turnieju par mikstowych, a potem w</w:t>
      </w:r>
      <w:r>
        <w:rPr>
          <w:rFonts w:ascii="Verdana" w:eastAsia="Times New Roman" w:hAnsi="Verdana" w:cs="Arial"/>
          <w:sz w:val="28"/>
          <w:szCs w:val="40"/>
          <w:lang w:eastAsia="pl-PL"/>
        </w:rPr>
        <w:t xml:space="preserve"> </w:t>
      </w:r>
      <w:r w:rsidRPr="007E7D66">
        <w:rPr>
          <w:rFonts w:ascii="Verdana" w:eastAsia="Times New Roman" w:hAnsi="Verdana" w:cs="Arial"/>
          <w:sz w:val="28"/>
          <w:szCs w:val="40"/>
          <w:lang w:eastAsia="pl-PL"/>
        </w:rPr>
        <w:t>najliczniej obsadzonych turniejach danej klasyfikacji).</w:t>
      </w:r>
    </w:p>
    <w:p w:rsidR="002200A3" w:rsidRPr="007E7D66" w:rsidRDefault="002200A3">
      <w:pPr>
        <w:rPr>
          <w:rFonts w:ascii="Verdana" w:hAnsi="Verdana"/>
          <w:sz w:val="16"/>
        </w:rPr>
      </w:pPr>
    </w:p>
    <w:sectPr w:rsidR="002200A3" w:rsidRPr="007E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66"/>
    <w:rsid w:val="00093167"/>
    <w:rsid w:val="001505AA"/>
    <w:rsid w:val="002200A3"/>
    <w:rsid w:val="007E7D66"/>
    <w:rsid w:val="00C2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C31A6"/>
  <w15:chartTrackingRefBased/>
  <w15:docId w15:val="{BDFE8767-7E86-4B4C-BDD5-8D5047D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kelo@op.pl</cp:lastModifiedBy>
  <cp:revision>3</cp:revision>
  <dcterms:created xsi:type="dcterms:W3CDTF">2022-06-25T14:35:00Z</dcterms:created>
  <dcterms:modified xsi:type="dcterms:W3CDTF">2022-06-30T14:20:00Z</dcterms:modified>
</cp:coreProperties>
</file>